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36" w:rsidRDefault="00715F36" w:rsidP="00DC3711">
      <w:pPr>
        <w:pStyle w:val="a3"/>
        <w:ind w:right="1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 для подготовки обучающихся 7 </w:t>
      </w:r>
      <w:proofErr w:type="gramStart"/>
      <w:r>
        <w:rPr>
          <w:rFonts w:ascii="Times New Roman" w:hAnsi="Times New Roman"/>
          <w:b/>
          <w:sz w:val="24"/>
        </w:rPr>
        <w:t>класса  к</w:t>
      </w:r>
      <w:proofErr w:type="gramEnd"/>
      <w:r>
        <w:rPr>
          <w:rFonts w:ascii="Times New Roman" w:hAnsi="Times New Roman"/>
          <w:b/>
          <w:sz w:val="24"/>
        </w:rPr>
        <w:t xml:space="preserve"> вступительным испытаниям по русскому языку (базовый уровень), в том числе при оказании платных услуг в школе </w:t>
      </w:r>
      <w:r w:rsidR="00A0659C" w:rsidRPr="00885F5B">
        <w:rPr>
          <w:rFonts w:ascii="Times New Roman" w:hAnsi="Times New Roman"/>
          <w:b/>
          <w:sz w:val="24"/>
        </w:rPr>
        <w:t>«Репетитор»</w:t>
      </w:r>
      <w:r w:rsidR="00A0659C">
        <w:rPr>
          <w:rFonts w:ascii="Times New Roman" w:hAnsi="Times New Roman"/>
          <w:b/>
          <w:sz w:val="24"/>
        </w:rPr>
        <w:t>.</w:t>
      </w:r>
      <w:r w:rsidR="00DC3711">
        <w:rPr>
          <w:rFonts w:ascii="Times New Roman" w:hAnsi="Times New Roman"/>
          <w:b/>
          <w:sz w:val="24"/>
        </w:rPr>
        <w:t xml:space="preserve"> </w:t>
      </w:r>
    </w:p>
    <w:p w:rsidR="00A0659C" w:rsidRDefault="00A0659C" w:rsidP="00DC3711">
      <w:pPr>
        <w:pStyle w:val="a3"/>
        <w:ind w:right="1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</w:t>
      </w:r>
      <w:r w:rsidR="00FF3F21">
        <w:rPr>
          <w:rFonts w:ascii="Times New Roman" w:hAnsi="Times New Roman"/>
          <w:b/>
          <w:sz w:val="24"/>
        </w:rPr>
        <w:t xml:space="preserve"> </w:t>
      </w:r>
      <w:r w:rsidR="00A86E74">
        <w:rPr>
          <w:rFonts w:ascii="Times New Roman" w:hAnsi="Times New Roman"/>
          <w:b/>
          <w:sz w:val="24"/>
        </w:rPr>
        <w:t xml:space="preserve">подготовки по </w:t>
      </w:r>
      <w:r w:rsidR="00FF3F21">
        <w:rPr>
          <w:rFonts w:ascii="Times New Roman" w:hAnsi="Times New Roman"/>
          <w:b/>
          <w:sz w:val="24"/>
        </w:rPr>
        <w:t xml:space="preserve">предмету «Русский язык». </w:t>
      </w:r>
    </w:p>
    <w:p w:rsidR="00715F36" w:rsidRDefault="00715F36" w:rsidP="00F1124D">
      <w:pPr>
        <w:jc w:val="center"/>
        <w:rPr>
          <w:b/>
          <w:sz w:val="28"/>
          <w:szCs w:val="28"/>
        </w:rPr>
      </w:pPr>
    </w:p>
    <w:p w:rsidR="00F1124D" w:rsidRPr="00744E37" w:rsidRDefault="00F1124D" w:rsidP="00F1124D">
      <w:pPr>
        <w:jc w:val="center"/>
        <w:rPr>
          <w:b/>
          <w:sz w:val="28"/>
          <w:szCs w:val="28"/>
        </w:rPr>
      </w:pPr>
      <w:r w:rsidRPr="00744E37">
        <w:rPr>
          <w:b/>
          <w:sz w:val="28"/>
          <w:szCs w:val="28"/>
        </w:rPr>
        <w:t xml:space="preserve">Пояснительная записка    </w:t>
      </w:r>
    </w:p>
    <w:p w:rsidR="00F1124D" w:rsidRPr="00F1124D" w:rsidRDefault="00F1124D" w:rsidP="00F1124D">
      <w:pPr>
        <w:shd w:val="clear" w:color="auto" w:fill="FFFFFF"/>
        <w:spacing w:before="310" w:line="274" w:lineRule="exact"/>
        <w:ind w:left="142" w:right="567" w:firstLine="3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124D">
        <w:rPr>
          <w:rFonts w:ascii="Times New Roman" w:hAnsi="Times New Roman" w:cs="Times New Roman"/>
          <w:sz w:val="24"/>
          <w:szCs w:val="24"/>
        </w:rPr>
        <w:t xml:space="preserve">На основании решения учителей кафедры русского языка и литературы </w:t>
      </w:r>
      <w:proofErr w:type="gramStart"/>
      <w:r w:rsidRPr="00F1124D">
        <w:rPr>
          <w:rFonts w:ascii="Times New Roman" w:hAnsi="Times New Roman" w:cs="Times New Roman"/>
          <w:sz w:val="24"/>
          <w:szCs w:val="24"/>
        </w:rPr>
        <w:t>ГБОУ  школы</w:t>
      </w:r>
      <w:proofErr w:type="gramEnd"/>
      <w:r w:rsidRPr="00F1124D">
        <w:rPr>
          <w:rFonts w:ascii="Times New Roman" w:hAnsi="Times New Roman" w:cs="Times New Roman"/>
          <w:sz w:val="24"/>
          <w:szCs w:val="24"/>
        </w:rPr>
        <w:t xml:space="preserve"> № 67 материалы  </w:t>
      </w:r>
      <w:r w:rsidR="00715F36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F1124D">
        <w:rPr>
          <w:rFonts w:ascii="Times New Roman" w:hAnsi="Times New Roman" w:cs="Times New Roman"/>
          <w:sz w:val="24"/>
          <w:szCs w:val="24"/>
        </w:rPr>
        <w:t xml:space="preserve"> работы по русскому языку  учащихся 7 класса </w:t>
      </w:r>
      <w:r w:rsidR="00715F36">
        <w:rPr>
          <w:rFonts w:ascii="Times New Roman" w:hAnsi="Times New Roman" w:cs="Times New Roman"/>
          <w:sz w:val="24"/>
          <w:szCs w:val="24"/>
        </w:rPr>
        <w:t xml:space="preserve">ГБОУ Школы № 67 и входного контроля учащихся 7 класса других ОУ </w:t>
      </w:r>
      <w:r w:rsidRPr="00F1124D">
        <w:rPr>
          <w:rFonts w:ascii="Times New Roman" w:hAnsi="Times New Roman" w:cs="Times New Roman"/>
          <w:sz w:val="24"/>
          <w:szCs w:val="24"/>
        </w:rPr>
        <w:t xml:space="preserve">должны быть составлены в соответствии с Требованиями к уровню подготовки   семиклассников, входящими в Федеральный компонент </w:t>
      </w:r>
      <w:r w:rsidRPr="00F1124D">
        <w:rPr>
          <w:rFonts w:ascii="Times New Roman" w:hAnsi="Times New Roman" w:cs="Times New Roman"/>
          <w:spacing w:val="-1"/>
          <w:sz w:val="24"/>
          <w:szCs w:val="24"/>
        </w:rPr>
        <w:t>государственного стандарта основного общего образования и в Обязательный минимум содержания основн</w:t>
      </w:r>
      <w:r w:rsidR="00715F36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Pr="00F1124D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</w:t>
      </w:r>
      <w:r w:rsidR="00715F36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Pr="00F1124D">
        <w:rPr>
          <w:rFonts w:ascii="Times New Roman" w:hAnsi="Times New Roman" w:cs="Times New Roman"/>
          <w:spacing w:val="-1"/>
          <w:sz w:val="24"/>
          <w:szCs w:val="24"/>
        </w:rPr>
        <w:t xml:space="preserve"> программ</w:t>
      </w:r>
      <w:r w:rsidR="00715F3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1124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15"/>
        <w:gridCol w:w="9770"/>
      </w:tblGrid>
      <w:tr w:rsidR="00A0659C" w:rsidRPr="00885F5B" w:rsidTr="00DC3711">
        <w:tc>
          <w:tcPr>
            <w:tcW w:w="715" w:type="dxa"/>
          </w:tcPr>
          <w:p w:rsidR="00A0659C" w:rsidRPr="00885F5B" w:rsidRDefault="00A0659C" w:rsidP="00DC3711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 w:rsidRPr="00885F5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9770" w:type="dxa"/>
          </w:tcPr>
          <w:p w:rsidR="00A0659C" w:rsidRPr="00885F5B" w:rsidRDefault="00A86E74" w:rsidP="00A86E74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темы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 w:rsidRPr="00885F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Стартовый контроль. Диктант. Знакомство. Орфограммы с гласными в корне.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 контрольного диктанта. Безударные гласные в корне, проверяемые ударением (повторение). Глагол. Морфологические свойства, связанные с правописанием.  ТСЯ\ТЬСЯ. Правописание Ь в глаголах и существительных. Ь и Ъ (повторение). Простое и сложное предложение (повторение).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Суффиксы  ОВА\ЕВА, ЫВА\ИВА (повторение). Спряжение. Повторение. Личные окончания глагола (тренинг). Разбор глагола по составу. Две глагольные основы. Чередование гласных в корне (повторение). Работа с синтаксической структурой (как работать с предложением). Сочинительные союзы в сложных предложениях и между однородными членами.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770" w:type="dxa"/>
          </w:tcPr>
          <w:p w:rsidR="00A0659C" w:rsidRPr="00885F5B" w:rsidRDefault="002E35B7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глагола (повторение). </w:t>
            </w:r>
            <w:r w:rsidR="00A0659C">
              <w:rPr>
                <w:rFonts w:ascii="Times New Roman" w:hAnsi="Times New Roman"/>
                <w:sz w:val="24"/>
              </w:rPr>
              <w:t>Причастие и прилагательное. Сходства и различия. Тренинг. Действительные и страдательные причастия настоящего времени. Причастный оборот. Сомнительные и непроизносимые согласные (повторение). Сложные прилагательные (повторение).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работа. Образование причастий (тренинг). Изменение причастий и прилагательных по падежам. Окончания существительных и прилагательных. Склонение существительных (повторение). Правописание приставок.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и страдательные причастия прошедшего времени. Образование причастий. Гласная перед суффиксом страдательных причастий прошедшего времени. Особенности глаголов на –</w:t>
            </w:r>
            <w:proofErr w:type="spellStart"/>
            <w:r>
              <w:rPr>
                <w:rFonts w:ascii="Times New Roman" w:hAnsi="Times New Roman"/>
                <w:sz w:val="24"/>
              </w:rPr>
              <w:t>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 образовании страдательных причастий прошедшего времени. Склонение причастий (тренинг). Употребление причастий. Правописание приставок ПРЕ- и ПРИ-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770" w:type="dxa"/>
          </w:tcPr>
          <w:p w:rsidR="00A0659C" w:rsidRPr="00885F5B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работа. Полные и краткие причастия. Полные и краткие прилагательные (повторение).  Обособление причастного оборота (тренинг). Простое предложение (повторение). Суффиксы прилагательных К\СК (повторение)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Н-НН в суффиксах страдательных причастий прошедшего времени. Понятие отглагольных прилагательных. Причастный оборот (тренинг). Простое предложение. Самостоятельные и служебные части речи (повторение). Однородные определения, выраженные причастными оборотами. 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на причастия. Н-НН в прилагательных и причастиях. Особенности кратких форм. Синтаксическая роль кратких форм. Обращение (повторение). Суффиксы существительных (повторение)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Частицы НЕ и НИ. Правописание НЕ с причастиями. Синонимия и антонимия. Прямая речь (повторение). Правописание сложных числительных (повторение).</w:t>
            </w:r>
            <w:bookmarkStart w:id="0" w:name="_GoBack"/>
            <w:bookmarkEnd w:id="0"/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НЕ с существительными, прилагательными и причастиями. Прямая речь (повторение).  НЕ и НИ в местоимениях.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О-Ё после шипящих в суффиксах страдательных причастий прошедшего времени. О-Ё после шипящих в существительных, прилагательных, наречиях и причастиях. Склонение сложных числительных (повторение)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контроль. Диктант. Фразеология.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 контрольного диктанта. Деепричастие как часть речи. Местоимение. Морфологическая роль, употребление, орфограммы.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Деепричастие совершенного и несовершенного вида. Деепричастный оборот. Предложения с обособленными обстоятельствами, выраженными деепричастным оборотом. Употребление деепричастных оборотов.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и употребление деепричастий (тренинг). 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17. 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Наречие как часть речи. Образование наречий. Разряды наречий. Н-НН в наречиях. Н-НН в причастиях и прилагательных (повторение)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 наречиями. НЕ с разными частями речи (тренинг). Правописание трудных наречий (тренинг), причастия-исключения (повторение).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О-Е на конце наречий после шипящих, Ь после шипящих в наречиях.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Дефис в наречиях. Буквы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А в конце наречий. Правописание наречий (тренинг). Дефис в неопределенных местоимениях (повторение)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диктант по пройденным темам.</w:t>
            </w:r>
          </w:p>
        </w:tc>
      </w:tr>
      <w:tr w:rsidR="00A0659C" w:rsidRPr="00885F5B" w:rsidTr="00DC3711">
        <w:tc>
          <w:tcPr>
            <w:tcW w:w="715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770" w:type="dxa"/>
          </w:tcPr>
          <w:p w:rsidR="00A0659C" w:rsidRDefault="00A0659C" w:rsidP="00C046D9">
            <w:pPr>
              <w:pStyle w:val="a3"/>
              <w:ind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 контрольного диктанта. Тренинг по  сложным темам.</w:t>
            </w:r>
          </w:p>
        </w:tc>
      </w:tr>
    </w:tbl>
    <w:p w:rsidR="00A0659C" w:rsidRDefault="00A0659C" w:rsidP="00A0659C">
      <w:pPr>
        <w:pStyle w:val="a3"/>
        <w:ind w:right="199" w:firstLine="720"/>
        <w:jc w:val="both"/>
        <w:rPr>
          <w:rFonts w:ascii="Times New Roman" w:hAnsi="Times New Roman"/>
          <w:b/>
          <w:sz w:val="24"/>
        </w:rPr>
      </w:pPr>
    </w:p>
    <w:p w:rsidR="007917A1" w:rsidRPr="007917A1" w:rsidRDefault="007917A1" w:rsidP="007917A1">
      <w:pPr>
        <w:jc w:val="center"/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</w:pPr>
      <w:r w:rsidRPr="007917A1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Работа проводится в марте текущего учебного года.</w:t>
      </w:r>
    </w:p>
    <w:p w:rsidR="007917A1" w:rsidRPr="007917A1" w:rsidRDefault="007917A1" w:rsidP="007917A1">
      <w:pPr>
        <w:jc w:val="center"/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</w:pPr>
      <w:r w:rsidRPr="007917A1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Продолжительность работы 45 минут.</w:t>
      </w:r>
    </w:p>
    <w:p w:rsidR="007917A1" w:rsidRDefault="007917A1" w:rsidP="00A86E74">
      <w:pPr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Примеры диктантов.</w:t>
      </w:r>
    </w:p>
    <w:p w:rsidR="00A86E74" w:rsidRPr="00DC3711" w:rsidRDefault="00A86E74" w:rsidP="00A86E74">
      <w:pPr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</w:pPr>
      <w:r w:rsidRPr="00DC3711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Диктант</w:t>
      </w:r>
      <w:r w:rsidR="00DC3711" w:rsidRPr="00DC3711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 1</w:t>
      </w:r>
      <w:r w:rsidRPr="00DC3711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. </w:t>
      </w:r>
    </w:p>
    <w:p w:rsidR="00DC3711" w:rsidRDefault="00A86E74" w:rsidP="00DC3711">
      <w:pPr>
        <w:spacing w:after="0"/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</w:pPr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 Старинный двухэтажный деревянный дом иногда пребывал в хорошем настроении. Весело хлопая выкрашенными масляной краской дверьми, празднично звякая стеклами, посвистывая щелями, он даже в самые темные углы пускал солнечных зайчиков. Иногда дом сердился или скучал. Полусгнившие ступени по-старчески сварливо скрипели, пропылённые углы оседали, кряхтя и охая, с крашеных потолков сыпались чешуйки мела.</w:t>
      </w:r>
      <w:r w:rsidRP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Но грустил он редко и не боялся ветреной погоды.</w:t>
      </w:r>
      <w:r w:rsidRP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DC371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 </w:t>
      </w:r>
      <w:r w:rsid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 </w:t>
      </w:r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первом подъезде жил монтёр </w:t>
      </w:r>
      <w:proofErr w:type="spellStart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Веточкин</w:t>
      </w:r>
      <w:proofErr w:type="spellEnd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чинивший всем электроплитки. Справа от него давным-давно поселился музыкант </w:t>
      </w:r>
      <w:proofErr w:type="spellStart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Соловейкин</w:t>
      </w:r>
      <w:proofErr w:type="spellEnd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игравший в оркестре на трубе. Бешено носился по лестницам третьеклассник Вовка, лихо съезжавший по перилам со второго этажа. Под разрушенным крылечком обитал рыжий котенок. А в квартире номер шестнадцать проживал Петр Иванович. Днём он работал в конторе, а по вечерам, озираясь, строчил на всех жалобы. На монтера </w:t>
      </w:r>
      <w:proofErr w:type="spellStart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Веточкина</w:t>
      </w:r>
      <w:proofErr w:type="spellEnd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он жаловался за то, что он телевизоры чинить не умеет. На   музыканта </w:t>
      </w:r>
      <w:proofErr w:type="spellStart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Соловейкина</w:t>
      </w:r>
      <w:proofErr w:type="spellEnd"/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за то, что однажды январским утром он заиграл дома на трубе. На Вовку конторщик обижался за то, что тот не поздоровался на лестнице, а на котёнка - за то, что он ничей. Ответы на эти путаные жалобы часто приходили с опозданием, и тогда Петр Иван</w:t>
      </w:r>
      <w:r w:rsid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ович писал в высокие инстанции </w:t>
      </w:r>
      <w:r w:rsidRPr="00DC371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 тех, кто задерживает письма.</w:t>
      </w:r>
      <w:r w:rsidRP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      (191 слово. </w:t>
      </w:r>
      <w:r w:rsidRP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r w:rsid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 w:rsidRPr="00DC371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Крапивин «Старый дом»)</w:t>
      </w:r>
      <w:r w:rsidRPr="00DC3711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DC3711" w:rsidRPr="00DC3711" w:rsidRDefault="00DC3711" w:rsidP="00DC3711">
      <w:pPr>
        <w:spacing w:after="0"/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</w:pPr>
      <w:r w:rsidRPr="00DC3711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Диктант 2. </w:t>
      </w:r>
    </w:p>
    <w:p w:rsidR="00DC3711" w:rsidRPr="00DC3711" w:rsidRDefault="00DC3711" w:rsidP="00DC371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C3711">
        <w:rPr>
          <w:color w:val="000000"/>
        </w:rPr>
        <w:t xml:space="preserve">     В конце октября, когда дни еще по-осеннему ласковы, Балаклава начинает жить своеобразной жизнью. Уезжают обремененные чемоданами и баулами последние курортники, в течение долгого здешнего лета наслаждавшиеся солнцем и морем, и сразу становится просторно, свежо и по-домашнему деловито, точно после отъезда нашумевших непрошеных гостей. Поперек набережной расстилаются рыбачьи сети, и на полированных булыжниках мостовой они кажутся нежными и тонкими, словно паутина. Рыбаки, эти труженики моря,</w:t>
      </w:r>
      <w:r>
        <w:rPr>
          <w:color w:val="000000"/>
        </w:rPr>
        <w:t xml:space="preserve"> </w:t>
      </w:r>
      <w:r w:rsidRPr="00DC3711">
        <w:rPr>
          <w:color w:val="000000"/>
        </w:rPr>
        <w:t>ползают по разостланным сетям, как бу</w:t>
      </w:r>
      <w:r>
        <w:rPr>
          <w:color w:val="000000"/>
        </w:rPr>
        <w:t>дто серо-черные пауки, исправля</w:t>
      </w:r>
      <w:r w:rsidRPr="00DC3711">
        <w:rPr>
          <w:color w:val="000000"/>
        </w:rPr>
        <w:t xml:space="preserve">ющие разорванную пелену. Капитаны рыболовецких баркасов точат </w:t>
      </w:r>
      <w:r w:rsidRPr="00DC3711">
        <w:rPr>
          <w:color w:val="000000"/>
        </w:rPr>
        <w:lastRenderedPageBreak/>
        <w:t>иступившиеся белужьи крючки, а у каменных колодцев, где беспрерывной серебряной струйкой лепечет вода, судачат, собираясь здесь в свободные минуты, темнолицые местные жительницы. Опускаясь за море, садится солнце, и вскоре звездная ночь, сменяя короткую вечернюю зарю, обволакивает землю. Весь город погружается в глубокий сон, и наступает тот час, когда ниоткуда не доносится ни звука. Лишь изредка хлюпает вода о прибрежный камень, и этот одинокий звук еще более подчеркивает ничем не нарушаемую тишину. Чувствуешь, как ночь и молчание слились в одном черном объятии. Нигде, по-моему, не услышишь такой совершенной, такой идеальной тишины, как в ночной Балаклаве.</w:t>
      </w:r>
      <w:r>
        <w:rPr>
          <w:color w:val="000000"/>
        </w:rPr>
        <w:t xml:space="preserve">                                                     </w:t>
      </w:r>
      <w:r w:rsidRPr="00DC3711">
        <w:rPr>
          <w:color w:val="000000"/>
        </w:rPr>
        <w:t>(173</w:t>
      </w:r>
      <w:r>
        <w:rPr>
          <w:color w:val="000000"/>
        </w:rPr>
        <w:t xml:space="preserve"> слова. </w:t>
      </w:r>
      <w:proofErr w:type="spellStart"/>
      <w:r w:rsidRPr="00DC3711">
        <w:rPr>
          <w:color w:val="000000"/>
        </w:rPr>
        <w:t>А.Куприн</w:t>
      </w:r>
      <w:proofErr w:type="spellEnd"/>
      <w:r w:rsidRPr="00DC3711">
        <w:rPr>
          <w:color w:val="000000"/>
        </w:rPr>
        <w:t xml:space="preserve"> «Балаклава»)</w:t>
      </w:r>
    </w:p>
    <w:p w:rsidR="00446CAC" w:rsidRDefault="00446CAC" w:rsidP="00DC3711">
      <w:pPr>
        <w:spacing w:after="0"/>
      </w:pPr>
    </w:p>
    <w:sectPr w:rsidR="00446CAC" w:rsidSect="00DC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C"/>
    <w:rsid w:val="00043BFC"/>
    <w:rsid w:val="002E35B7"/>
    <w:rsid w:val="002E7614"/>
    <w:rsid w:val="003F1268"/>
    <w:rsid w:val="00446CAC"/>
    <w:rsid w:val="004B1BFA"/>
    <w:rsid w:val="00530473"/>
    <w:rsid w:val="005A793A"/>
    <w:rsid w:val="00644182"/>
    <w:rsid w:val="006F07D1"/>
    <w:rsid w:val="00715F36"/>
    <w:rsid w:val="007917A1"/>
    <w:rsid w:val="009E663B"/>
    <w:rsid w:val="00A0659C"/>
    <w:rsid w:val="00A86E74"/>
    <w:rsid w:val="00AD5AC4"/>
    <w:rsid w:val="00BA5508"/>
    <w:rsid w:val="00D50F23"/>
    <w:rsid w:val="00D74F52"/>
    <w:rsid w:val="00DC3711"/>
    <w:rsid w:val="00E04ABC"/>
    <w:rsid w:val="00F1124D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66B6"/>
  <w15:docId w15:val="{A2CEA2FF-A124-4085-992A-B5AAE8E4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65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0659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6E74"/>
  </w:style>
  <w:style w:type="paragraph" w:styleId="a6">
    <w:name w:val="Normal (Web)"/>
    <w:basedOn w:val="a"/>
    <w:uiPriority w:val="99"/>
    <w:unhideWhenUsed/>
    <w:rsid w:val="00DC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Мария Юрьевна</cp:lastModifiedBy>
  <cp:revision>7</cp:revision>
  <dcterms:created xsi:type="dcterms:W3CDTF">2018-12-13T17:19:00Z</dcterms:created>
  <dcterms:modified xsi:type="dcterms:W3CDTF">2019-03-28T10:10:00Z</dcterms:modified>
</cp:coreProperties>
</file>